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550D18">
              <w:rPr>
                <w:rFonts w:ascii="Times New Roman" w:hAnsi="Times New Roman" w:cs="Times New Roman"/>
                <w:sz w:val="28"/>
                <w:szCs w:val="28"/>
              </w:rPr>
              <w:t>4 693 965,36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1 414 275,20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50D18">
              <w:rPr>
                <w:rFonts w:ascii="Times New Roman" w:hAnsi="Times New Roman" w:cs="Times New Roman"/>
                <w:sz w:val="28"/>
                <w:szCs w:val="28"/>
              </w:rPr>
              <w:t>727 538,43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50D18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50D18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550D18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5E3F">
              <w:rPr>
                <w:rFonts w:ascii="Times New Roman" w:hAnsi="Times New Roman" w:cs="Times New Roman"/>
                <w:sz w:val="28"/>
                <w:szCs w:val="28"/>
              </w:rPr>
              <w:t> 451 377,76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D75E3F">
              <w:rPr>
                <w:rFonts w:ascii="Times New Roman" w:hAnsi="Times New Roman" w:cs="Times New Roman"/>
                <w:sz w:val="28"/>
                <w:szCs w:val="28"/>
              </w:rPr>
              <w:t>727 538,43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D75E3F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D75E3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D75E3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E50042">
        <w:rPr>
          <w:rFonts w:ascii="Times New Roman" w:hAnsi="Times New Roman" w:cs="Times New Roman"/>
          <w:sz w:val="28"/>
          <w:szCs w:val="28"/>
        </w:rPr>
        <w:t>4 693 965,36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году — 727 538,43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году — 330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2027 году — 190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2028 году — 190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EF79D1">
        <w:rPr>
          <w:rFonts w:ascii="Times New Roman" w:hAnsi="Times New Roman" w:cs="Times New Roman"/>
          <w:sz w:val="28"/>
          <w:szCs w:val="28"/>
        </w:rPr>
        <w:t>2</w:t>
      </w:r>
      <w:r w:rsidR="00E50042">
        <w:rPr>
          <w:rFonts w:ascii="Times New Roman" w:hAnsi="Times New Roman" w:cs="Times New Roman"/>
          <w:sz w:val="28"/>
          <w:szCs w:val="28"/>
        </w:rPr>
        <w:t> 451 377,76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73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50042">
        <w:rPr>
          <w:rFonts w:ascii="Times New Roman" w:hAnsi="Times New Roman" w:cs="Times New Roman"/>
          <w:sz w:val="28"/>
          <w:szCs w:val="28"/>
        </w:rPr>
        <w:t xml:space="preserve"> 2025 году — 727 538,43</w:t>
      </w:r>
      <w:r w:rsidRPr="00B3737E">
        <w:rPr>
          <w:rFonts w:ascii="Times New Roman" w:hAnsi="Times New Roman" w:cs="Times New Roman"/>
          <w:sz w:val="28"/>
          <w:szCs w:val="28"/>
        </w:rPr>
        <w:t>рублей;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году — 330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2027 году — 190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E5004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— 190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рублей. </w:t>
      </w:r>
      <w:bookmarkStart w:id="0" w:name="_GoBack"/>
      <w:bookmarkEnd w:id="0"/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целом  оперативное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управление и общий контроль за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08E9"/>
    <w:rsid w:val="00136F6C"/>
    <w:rsid w:val="001452BE"/>
    <w:rsid w:val="00153BA5"/>
    <w:rsid w:val="001752C4"/>
    <w:rsid w:val="00185BCA"/>
    <w:rsid w:val="00191406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43599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57279"/>
    <w:rsid w:val="00463E2B"/>
    <w:rsid w:val="00470B19"/>
    <w:rsid w:val="00491D4D"/>
    <w:rsid w:val="004B7DAF"/>
    <w:rsid w:val="004E07A2"/>
    <w:rsid w:val="004E0B28"/>
    <w:rsid w:val="004E17F8"/>
    <w:rsid w:val="004E640E"/>
    <w:rsid w:val="004E7D39"/>
    <w:rsid w:val="004E7FDA"/>
    <w:rsid w:val="0050014B"/>
    <w:rsid w:val="0050132E"/>
    <w:rsid w:val="00502704"/>
    <w:rsid w:val="0051663A"/>
    <w:rsid w:val="0052627E"/>
    <w:rsid w:val="00541B24"/>
    <w:rsid w:val="00550D18"/>
    <w:rsid w:val="0055376F"/>
    <w:rsid w:val="00561A50"/>
    <w:rsid w:val="00580EA7"/>
    <w:rsid w:val="0058629E"/>
    <w:rsid w:val="00596062"/>
    <w:rsid w:val="00596144"/>
    <w:rsid w:val="005D7F3B"/>
    <w:rsid w:val="005E0949"/>
    <w:rsid w:val="005E6498"/>
    <w:rsid w:val="005F530E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3CA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3759"/>
    <w:rsid w:val="00AC7364"/>
    <w:rsid w:val="00AE1AD0"/>
    <w:rsid w:val="00B05EE4"/>
    <w:rsid w:val="00B16442"/>
    <w:rsid w:val="00B212B6"/>
    <w:rsid w:val="00B3737E"/>
    <w:rsid w:val="00B54ABB"/>
    <w:rsid w:val="00B75291"/>
    <w:rsid w:val="00BA1A8B"/>
    <w:rsid w:val="00BD3F04"/>
    <w:rsid w:val="00BF348D"/>
    <w:rsid w:val="00BF5EEC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75E3F"/>
    <w:rsid w:val="00D84EAC"/>
    <w:rsid w:val="00D85EAD"/>
    <w:rsid w:val="00DA6BC3"/>
    <w:rsid w:val="00DE21B8"/>
    <w:rsid w:val="00DF3F58"/>
    <w:rsid w:val="00E0447B"/>
    <w:rsid w:val="00E10A9A"/>
    <w:rsid w:val="00E360E1"/>
    <w:rsid w:val="00E41283"/>
    <w:rsid w:val="00E413B9"/>
    <w:rsid w:val="00E50042"/>
    <w:rsid w:val="00E56723"/>
    <w:rsid w:val="00E57C23"/>
    <w:rsid w:val="00E82B4A"/>
    <w:rsid w:val="00E91ADA"/>
    <w:rsid w:val="00EB0ABD"/>
    <w:rsid w:val="00EB28AE"/>
    <w:rsid w:val="00EE0AA6"/>
    <w:rsid w:val="00EE0DDC"/>
    <w:rsid w:val="00EF2769"/>
    <w:rsid w:val="00EF79D1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7257E-AF1B-4F7E-BB5A-3A6C7C5F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7364-F19A-433C-907B-838D991F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KFIK3</cp:lastModifiedBy>
  <cp:revision>44</cp:revision>
  <cp:lastPrinted>2013-11-10T04:44:00Z</cp:lastPrinted>
  <dcterms:created xsi:type="dcterms:W3CDTF">2020-12-30T05:37:00Z</dcterms:created>
  <dcterms:modified xsi:type="dcterms:W3CDTF">2026-01-27T11:00:00Z</dcterms:modified>
</cp:coreProperties>
</file>